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19A89">
      <w:pPr>
        <w:rPr>
          <w:rFonts w:hint="eastAsia"/>
        </w:rPr>
      </w:pPr>
      <w:r>
        <w:rPr>
          <w:rFonts w:hint="eastAsia"/>
        </w:rPr>
        <w:t>一、新增功能</w:t>
      </w:r>
    </w:p>
    <w:p w14:paraId="436B3C6A">
      <w:pPr>
        <w:rPr>
          <w:rFonts w:hint="eastAsia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2"/>
        <w:gridCol w:w="1430"/>
        <w:gridCol w:w="1701"/>
        <w:gridCol w:w="3356"/>
      </w:tblGrid>
      <w:tr w14:paraId="059FD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09594FA9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一级菜单</w:t>
            </w:r>
          </w:p>
        </w:tc>
        <w:tc>
          <w:tcPr>
            <w:tcW w:w="1430" w:type="dxa"/>
            <w:noWrap/>
            <w:vAlign w:val="center"/>
          </w:tcPr>
          <w:p w14:paraId="4251BD9E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菜单名称</w:t>
            </w:r>
          </w:p>
        </w:tc>
        <w:tc>
          <w:tcPr>
            <w:tcW w:w="1701" w:type="dxa"/>
            <w:noWrap/>
            <w:vAlign w:val="center"/>
          </w:tcPr>
          <w:p w14:paraId="54E42B37">
            <w:pPr>
              <w:ind w:firstLine="420" w:firstLineChars="200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路由地址</w:t>
            </w:r>
          </w:p>
        </w:tc>
        <w:tc>
          <w:tcPr>
            <w:tcW w:w="3356" w:type="dxa"/>
            <w:noWrap/>
            <w:vAlign w:val="center"/>
          </w:tcPr>
          <w:p w14:paraId="505ACE7F">
            <w:pPr>
              <w:ind w:firstLine="1050" w:firstLineChars="500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组件路径</w:t>
            </w:r>
          </w:p>
        </w:tc>
      </w:tr>
      <w:tr w14:paraId="11069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600FDDC6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系统管理-目录管理</w:t>
            </w:r>
          </w:p>
        </w:tc>
        <w:tc>
          <w:tcPr>
            <w:tcW w:w="1430" w:type="dxa"/>
            <w:noWrap/>
            <w:vAlign w:val="center"/>
          </w:tcPr>
          <w:p w14:paraId="5BBBE6BF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国临码目录</w:t>
            </w:r>
          </w:p>
        </w:tc>
        <w:tc>
          <w:tcPr>
            <w:tcW w:w="1701" w:type="dxa"/>
            <w:noWrap/>
            <w:vAlign w:val="center"/>
          </w:tcPr>
          <w:p w14:paraId="529003DA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/catalog/national</w:t>
            </w:r>
          </w:p>
        </w:tc>
        <w:tc>
          <w:tcPr>
            <w:tcW w:w="3356" w:type="dxa"/>
            <w:noWrap/>
            <w:vAlign w:val="center"/>
          </w:tcPr>
          <w:p w14:paraId="79F0B38F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catalog/national/index</w:t>
            </w:r>
          </w:p>
        </w:tc>
      </w:tr>
      <w:tr w14:paraId="5A175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44CCAF72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预约管理</w:t>
            </w:r>
          </w:p>
        </w:tc>
        <w:tc>
          <w:tcPr>
            <w:tcW w:w="1430" w:type="dxa"/>
            <w:noWrap/>
            <w:vAlign w:val="center"/>
          </w:tcPr>
          <w:p w14:paraId="7B737AE8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预约管理</w:t>
            </w:r>
          </w:p>
        </w:tc>
        <w:tc>
          <w:tcPr>
            <w:tcW w:w="1701" w:type="dxa"/>
            <w:noWrap/>
            <w:vAlign w:val="center"/>
          </w:tcPr>
          <w:p w14:paraId="183F15F6">
            <w:pPr>
              <w:rPr>
                <w:rFonts w:hint="eastAsia" w:ascii="宋体" w:hAnsi="宋体" w:eastAsia="宋体"/>
              </w:rPr>
            </w:pPr>
            <w:bookmarkStart w:id="0" w:name="_GoBack"/>
            <w:r>
              <w:rPr>
                <w:rFonts w:ascii="宋体" w:hAnsi="宋体" w:eastAsia="宋体"/>
              </w:rPr>
              <w:t>reservationRecord</w:t>
            </w:r>
            <w:bookmarkEnd w:id="0"/>
          </w:p>
        </w:tc>
        <w:tc>
          <w:tcPr>
            <w:tcW w:w="3356" w:type="dxa"/>
            <w:noWrap/>
            <w:vAlign w:val="center"/>
          </w:tcPr>
          <w:p w14:paraId="473A45A0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doctorstation/components/reservationRecord</w:t>
            </w:r>
          </w:p>
        </w:tc>
      </w:tr>
      <w:tr w14:paraId="4C270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4CFBAA59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库房管理-调价管理</w:t>
            </w:r>
          </w:p>
        </w:tc>
        <w:tc>
          <w:tcPr>
            <w:tcW w:w="1430" w:type="dxa"/>
            <w:noWrap/>
            <w:vAlign w:val="center"/>
          </w:tcPr>
          <w:p w14:paraId="6DC30174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调价申请管理</w:t>
            </w:r>
          </w:p>
        </w:tc>
        <w:tc>
          <w:tcPr>
            <w:tcW w:w="1701" w:type="dxa"/>
            <w:noWrap/>
            <w:vAlign w:val="center"/>
          </w:tcPr>
          <w:p w14:paraId="6D1BB945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priceAdjustmentManagement</w:t>
            </w:r>
          </w:p>
        </w:tc>
        <w:tc>
          <w:tcPr>
            <w:tcW w:w="3356" w:type="dxa"/>
            <w:noWrap/>
            <w:vAlign w:val="center"/>
          </w:tcPr>
          <w:p w14:paraId="5B9F8F44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medicationmanagement/priceAdjustmentManagement/index</w:t>
            </w:r>
          </w:p>
        </w:tc>
      </w:tr>
      <w:tr w14:paraId="644CC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10F2D2F4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库房管理-调价管理</w:t>
            </w:r>
          </w:p>
        </w:tc>
        <w:tc>
          <w:tcPr>
            <w:tcW w:w="1430" w:type="dxa"/>
            <w:noWrap/>
            <w:vAlign w:val="center"/>
          </w:tcPr>
          <w:p w14:paraId="4E938CFE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调价审核管理</w:t>
            </w:r>
          </w:p>
        </w:tc>
        <w:tc>
          <w:tcPr>
            <w:tcW w:w="1701" w:type="dxa"/>
            <w:noWrap/>
            <w:vAlign w:val="center"/>
          </w:tcPr>
          <w:p w14:paraId="0D94C883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priceAdjustmentApprovalManagement</w:t>
            </w:r>
          </w:p>
        </w:tc>
        <w:tc>
          <w:tcPr>
            <w:tcW w:w="3356" w:type="dxa"/>
            <w:noWrap/>
            <w:vAlign w:val="center"/>
          </w:tcPr>
          <w:p w14:paraId="1FDD1412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medicationmanagement/priceAdjustmentApprovalManagement/index</w:t>
            </w:r>
          </w:p>
        </w:tc>
      </w:tr>
      <w:tr w14:paraId="35757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70BAA32E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财务管理</w:t>
            </w:r>
          </w:p>
        </w:tc>
        <w:tc>
          <w:tcPr>
            <w:tcW w:w="1430" w:type="dxa"/>
            <w:noWrap/>
            <w:vAlign w:val="center"/>
          </w:tcPr>
          <w:p w14:paraId="431306DC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调价单审批</w:t>
            </w:r>
          </w:p>
        </w:tc>
        <w:tc>
          <w:tcPr>
            <w:tcW w:w="1701" w:type="dxa"/>
            <w:noWrap/>
            <w:vAlign w:val="center"/>
          </w:tcPr>
          <w:p w14:paraId="4BFAF62B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priceAdjustmentFormApproval</w:t>
            </w:r>
          </w:p>
        </w:tc>
        <w:tc>
          <w:tcPr>
            <w:tcW w:w="3356" w:type="dxa"/>
            <w:noWrap/>
            <w:vAlign w:val="center"/>
          </w:tcPr>
          <w:p w14:paraId="75C2BE10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medicationmanagement/priceAdjustmentFormApproval/index</w:t>
            </w:r>
          </w:p>
        </w:tc>
      </w:tr>
      <w:tr w14:paraId="1AA4D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769DC289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药房管理</w:t>
            </w:r>
          </w:p>
        </w:tc>
        <w:tc>
          <w:tcPr>
            <w:tcW w:w="1430" w:type="dxa"/>
            <w:noWrap/>
            <w:vAlign w:val="center"/>
          </w:tcPr>
          <w:p w14:paraId="1D3CE667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住院发退药</w:t>
            </w:r>
          </w:p>
        </w:tc>
        <w:tc>
          <w:tcPr>
            <w:tcW w:w="1701" w:type="dxa"/>
            <w:noWrap/>
            <w:vAlign w:val="center"/>
          </w:tcPr>
          <w:p w14:paraId="445FAECC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inpatientMedicationDispensing</w:t>
            </w:r>
          </w:p>
        </w:tc>
        <w:tc>
          <w:tcPr>
            <w:tcW w:w="3356" w:type="dxa"/>
            <w:noWrap/>
            <w:vAlign w:val="center"/>
          </w:tcPr>
          <w:p w14:paraId="25C1967C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drug/inpatientMedicationDispensing/index</w:t>
            </w:r>
          </w:p>
        </w:tc>
      </w:tr>
      <w:tr w14:paraId="1487F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3276ACEB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系统管理-易用性配置</w:t>
            </w:r>
          </w:p>
        </w:tc>
        <w:tc>
          <w:tcPr>
            <w:tcW w:w="1430" w:type="dxa"/>
            <w:noWrap/>
            <w:vAlign w:val="center"/>
          </w:tcPr>
          <w:p w14:paraId="0DD48A4B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病历模板定义</w:t>
            </w:r>
          </w:p>
        </w:tc>
        <w:tc>
          <w:tcPr>
            <w:tcW w:w="1701" w:type="dxa"/>
            <w:noWrap/>
            <w:vAlign w:val="center"/>
          </w:tcPr>
          <w:p w14:paraId="2DCA0756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caseTemplates</w:t>
            </w:r>
          </w:p>
        </w:tc>
        <w:tc>
          <w:tcPr>
            <w:tcW w:w="3356" w:type="dxa"/>
            <w:noWrap/>
            <w:vAlign w:val="center"/>
          </w:tcPr>
          <w:p w14:paraId="3A882889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basicmanage/caseTemplates/index</w:t>
            </w:r>
          </w:p>
        </w:tc>
      </w:tr>
      <w:tr w14:paraId="62B03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92" w:type="dxa"/>
            <w:noWrap/>
            <w:vAlign w:val="center"/>
          </w:tcPr>
          <w:p w14:paraId="409CBAEF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系统管理-易用性配置</w:t>
            </w:r>
          </w:p>
        </w:tc>
        <w:tc>
          <w:tcPr>
            <w:tcW w:w="1430" w:type="dxa"/>
            <w:noWrap/>
            <w:vAlign w:val="center"/>
          </w:tcPr>
          <w:p w14:paraId="57BC3EFC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病历统计项定义</w:t>
            </w:r>
          </w:p>
        </w:tc>
        <w:tc>
          <w:tcPr>
            <w:tcW w:w="1701" w:type="dxa"/>
            <w:noWrap/>
            <w:vAlign w:val="center"/>
          </w:tcPr>
          <w:p w14:paraId="6BC93EE2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caseTemplatesStatistics</w:t>
            </w:r>
          </w:p>
        </w:tc>
        <w:tc>
          <w:tcPr>
            <w:tcW w:w="3356" w:type="dxa"/>
            <w:noWrap/>
            <w:vAlign w:val="center"/>
          </w:tcPr>
          <w:p w14:paraId="227E4F2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basicmanage/caseTemplatesStatistics/index</w:t>
            </w:r>
          </w:p>
        </w:tc>
      </w:tr>
    </w:tbl>
    <w:p w14:paraId="2FC3BC63">
      <w:pPr>
        <w:rPr>
          <w:rFonts w:hint="eastAsia"/>
        </w:rPr>
      </w:pPr>
    </w:p>
    <w:p w14:paraId="5D4D42D1">
      <w:pPr>
        <w:rPr>
          <w:rFonts w:hint="eastAsia"/>
        </w:rPr>
      </w:pPr>
      <w:r>
        <w:rPr>
          <w:rFonts w:hint="eastAsia"/>
        </w:rPr>
        <w:t>二、其他</w:t>
      </w:r>
    </w:p>
    <w:p w14:paraId="4F7BED7F">
      <w:pPr>
        <w:rPr>
          <w:rFonts w:hint="eastAsia"/>
        </w:rPr>
      </w:pPr>
      <w:r>
        <w:rPr>
          <w:rFonts w:hint="eastAsia"/>
        </w:rPr>
        <w:t>1、优化系统前后端对于金额精度问题，统一保留小数点后6位。对于账单等计算总金额，所有价格之和相加后再进行四舍五入保留小数点后2位。</w:t>
      </w:r>
    </w:p>
    <w:p w14:paraId="74F97BD0">
      <w:pPr>
        <w:rPr>
          <w:rFonts w:hint="eastAsia"/>
        </w:rPr>
      </w:pPr>
      <w:r>
        <w:rPr>
          <w:rFonts w:hint="eastAsia"/>
        </w:rPr>
        <w:t>2、库存明细增加导出功能</w:t>
      </w:r>
    </w:p>
    <w:p w14:paraId="088212E6">
      <w:pPr>
        <w:rPr>
          <w:rFonts w:hint="eastAsia"/>
        </w:rPr>
      </w:pPr>
      <w:r>
        <w:rPr>
          <w:rFonts w:hint="eastAsia"/>
        </w:rPr>
        <w:t>3、药品目录的医保等级默认自费</w:t>
      </w:r>
    </w:p>
    <w:p w14:paraId="277F4221">
      <w:pPr>
        <w:rPr>
          <w:rFonts w:hint="eastAsia"/>
        </w:rPr>
      </w:pPr>
      <w:r>
        <w:rPr>
          <w:rFonts w:hint="eastAsia"/>
        </w:rPr>
        <w:t>4、门诊开医嘱时，显示价格</w:t>
      </w:r>
    </w:p>
    <w:p w14:paraId="04DEF171">
      <w:pPr>
        <w:rPr>
          <w:rFonts w:hint="eastAsia"/>
        </w:rPr>
      </w:pPr>
      <w:r>
        <w:rPr>
          <w:rFonts w:hint="eastAsia"/>
        </w:rPr>
        <w:t>5、诊疗项目，添加子项，自动合计子项的总价</w:t>
      </w:r>
    </w:p>
    <w:p w14:paraId="12B0E09F">
      <w:pPr>
        <w:rPr>
          <w:rFonts w:hint="eastAsia"/>
        </w:rPr>
      </w:pPr>
      <w:r>
        <w:rPr>
          <w:rFonts w:hint="eastAsia"/>
        </w:rPr>
        <w:t>6、门诊医生站，显示医生姓名，不要显示其登录账号</w:t>
      </w:r>
    </w:p>
    <w:p w14:paraId="54ECC35F">
      <w:pPr>
        <w:rPr>
          <w:rFonts w:hint="eastAsia"/>
        </w:rPr>
      </w:pPr>
      <w:r>
        <w:rPr>
          <w:rFonts w:hint="eastAsia"/>
        </w:rPr>
        <w:t>7、解决门诊收费，右侧收费列表。若全选再取消全选，合计金额应变为0。</w:t>
      </w:r>
    </w:p>
    <w:p w14:paraId="33C0B959">
      <w:pPr>
        <w:rPr>
          <w:rFonts w:hint="eastAsia"/>
        </w:rPr>
      </w:pPr>
      <w:r>
        <w:rPr>
          <w:rFonts w:hint="eastAsia"/>
        </w:rPr>
        <w:t>8、耗材目录，单位支持拼音搜索，医保类别默认卫生材料费，包装规格给一个默认值‘-’，</w:t>
      </w:r>
    </w:p>
    <w:p w14:paraId="1E6A5244">
      <w:pPr>
        <w:rPr>
          <w:rFonts w:hint="eastAsia"/>
        </w:rPr>
      </w:pPr>
      <w:r>
        <w:rPr>
          <w:rFonts w:hint="eastAsia"/>
        </w:rPr>
        <w:t>9、采购入库经手人默认取当前登录者</w:t>
      </w:r>
    </w:p>
    <w:p w14:paraId="3860B350">
      <w:pPr>
        <w:rPr>
          <w:rFonts w:hint="eastAsia"/>
        </w:rPr>
      </w:pPr>
      <w:r>
        <w:rPr>
          <w:rFonts w:hint="eastAsia"/>
        </w:rPr>
        <w:t>10、采购管理：采购入库单据药品录入信息需要录入完成后再允许新增下一条，校验一下当前填写内容必填项是否填完</w:t>
      </w:r>
    </w:p>
    <w:p w14:paraId="1AD0BF40">
      <w:pPr>
        <w:rPr>
          <w:rFonts w:hint="eastAsia"/>
        </w:rPr>
      </w:pPr>
      <w:r>
        <w:rPr>
          <w:rFonts w:hint="eastAsia"/>
        </w:rPr>
        <w:t>12、解决采购入库，供应商填写保存后，再审核与再次查看时，供应商没保存bug</w:t>
      </w:r>
    </w:p>
    <w:p w14:paraId="57B67E57">
      <w:pPr>
        <w:rPr>
          <w:rFonts w:hint="eastAsia"/>
        </w:rPr>
      </w:pPr>
      <w:r>
        <w:rPr>
          <w:rFonts w:hint="eastAsia"/>
        </w:rPr>
        <w:t>13、采购入库发票号前台给默认值‘-’</w:t>
      </w:r>
    </w:p>
    <w:p w14:paraId="64BCFD27">
      <w:pPr>
        <w:rPr>
          <w:rFonts w:hint="eastAsia"/>
        </w:rPr>
      </w:pPr>
      <w:r>
        <w:rPr>
          <w:rFonts w:hint="eastAsia"/>
        </w:rPr>
        <w:t>14、单据审批页面增加供应商，入库位置，合计金额</w:t>
      </w:r>
    </w:p>
    <w:p w14:paraId="4435B131">
      <w:pPr>
        <w:rPr>
          <w:rFonts w:hint="eastAsia"/>
        </w:rPr>
      </w:pPr>
      <w:r>
        <w:rPr>
          <w:rFonts w:hint="eastAsia"/>
        </w:rPr>
        <w:t>15、新增号源+诊疗+用法绑定</w:t>
      </w:r>
    </w:p>
    <w:p w14:paraId="3124772A">
      <w:pPr>
        <w:rPr>
          <w:rFonts w:hint="eastAsia"/>
        </w:rPr>
      </w:pPr>
      <w:r>
        <w:rPr>
          <w:rFonts w:hint="eastAsia"/>
        </w:rPr>
        <w:t>16、门诊医生站新增“门诊病历”组件等功能优化。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6117EB"/>
    <w:rsid w:val="0008198D"/>
    <w:rsid w:val="001131B4"/>
    <w:rsid w:val="00155EF8"/>
    <w:rsid w:val="001C3EA3"/>
    <w:rsid w:val="00302AF0"/>
    <w:rsid w:val="00322B1A"/>
    <w:rsid w:val="003A63E1"/>
    <w:rsid w:val="005211AF"/>
    <w:rsid w:val="00545672"/>
    <w:rsid w:val="006117EB"/>
    <w:rsid w:val="00640607"/>
    <w:rsid w:val="00696EAE"/>
    <w:rsid w:val="00830C1D"/>
    <w:rsid w:val="008A5207"/>
    <w:rsid w:val="008E4308"/>
    <w:rsid w:val="00A06309"/>
    <w:rsid w:val="00B402F6"/>
    <w:rsid w:val="00B65F1D"/>
    <w:rsid w:val="00C71DB5"/>
    <w:rsid w:val="00CB073C"/>
    <w:rsid w:val="00CD35BF"/>
    <w:rsid w:val="00D65254"/>
    <w:rsid w:val="00E45594"/>
    <w:rsid w:val="00FA4372"/>
    <w:rsid w:val="3A2A7907"/>
    <w:rsid w:val="4C79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0F4761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0F4761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85858" w:themeColor="text1" w:themeTint="A6"/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85858" w:themeColor="text1" w:themeTint="A6"/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85858" w:themeColor="text1" w:themeTint="A6"/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3F3F3F" w:themeColor="text1" w:themeTint="BF"/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0F4761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0F4761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553</Words>
  <Characters>1071</Characters>
  <Lines>8</Lines>
  <Paragraphs>2</Paragraphs>
  <TotalTime>382</TotalTime>
  <ScaleCrop>false</ScaleCrop>
  <LinksUpToDate>false</LinksUpToDate>
  <CharactersWithSpaces>1071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2025-11-12T07:11:00Z</dcterms:created>
  <dc:creator>海明 王</dc:creator>
  <cp:lastModifiedBy>姚</cp:lastModifiedBy>
  <dcterms:modified xsi:type="dcterms:W3CDTF">2025-12-15T06:23:33Z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eyJoZGlkIjoiM2MzOTYyNTc2NDQ3M2RiMmZlOTM2ZmIxYjhlMDkwOGMiLCJ1c2VySWQiOiIxMzM3MTk0NiJ9</vt:lpwstr>
  </property>
  <property fmtid="{D5CDD505-2E9C-101B-9397-08002B2CF9AE}" pid="3" name="KSOProductBuildVer">
    <vt:lpwstr>2052-12.1.0.24034</vt:lpwstr>
  </property>
  <property fmtid="{D5CDD505-2E9C-101B-9397-08002B2CF9AE}" pid="4" name="ICV">
    <vt:lpwstr>84DBA799FAF44F91BE8860E7BE4A1591_12</vt:lpwstr>
  </property>
</Properties>
</file>